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82019" w14:textId="7FBC6FA7" w:rsidR="002772C2" w:rsidRPr="004340B8" w:rsidRDefault="00A1074D" w:rsidP="001361DA">
      <w:pPr>
        <w:pStyle w:val="Title"/>
        <w:rPr>
          <w:b w:val="0"/>
        </w:rPr>
      </w:pPr>
      <w:r w:rsidRPr="004340B8">
        <w:rPr>
          <w:rFonts w:ascii="Times New Roman" w:hAnsi="Times New Roman"/>
        </w:rPr>
        <w:t>JUSTIN COLLINGS</w:t>
      </w:r>
    </w:p>
    <w:p w14:paraId="4124006D" w14:textId="77777777" w:rsidR="004E299C" w:rsidRPr="004340B8" w:rsidRDefault="0070475A" w:rsidP="00547226">
      <w:pPr>
        <w:jc w:val="center"/>
      </w:pPr>
      <w:r w:rsidRPr="004340B8">
        <w:t>341 E Campus Dr Provo UT, 84602</w:t>
      </w:r>
    </w:p>
    <w:p w14:paraId="1D3128EC" w14:textId="77777777" w:rsidR="00A1074D" w:rsidRPr="004340B8" w:rsidRDefault="00547226" w:rsidP="00547226">
      <w:pPr>
        <w:jc w:val="center"/>
      </w:pPr>
      <w:r w:rsidRPr="004340B8">
        <w:t>collingsj</w:t>
      </w:r>
      <w:r w:rsidR="002772C2" w:rsidRPr="004340B8">
        <w:t>@</w:t>
      </w:r>
      <w:r w:rsidRPr="004340B8">
        <w:t>law.byu</w:t>
      </w:r>
      <w:r w:rsidR="002772C2" w:rsidRPr="004340B8">
        <w:t xml:space="preserve">.edu </w:t>
      </w:r>
      <w:r w:rsidR="002772C2" w:rsidRPr="004340B8">
        <w:sym w:font="Symbol" w:char="F0B7"/>
      </w:r>
      <w:r w:rsidR="002772C2" w:rsidRPr="004340B8">
        <w:t xml:space="preserve"> </w:t>
      </w:r>
      <w:r w:rsidR="0017587E" w:rsidRPr="004340B8">
        <w:t>801.</w:t>
      </w:r>
      <w:r w:rsidR="002772C2" w:rsidRPr="004340B8">
        <w:t>4</w:t>
      </w:r>
      <w:r w:rsidR="0017587E" w:rsidRPr="004340B8">
        <w:t>22</w:t>
      </w:r>
      <w:r w:rsidR="002772C2" w:rsidRPr="004340B8">
        <w:t>.</w:t>
      </w:r>
      <w:r w:rsidR="0017587E" w:rsidRPr="004340B8">
        <w:t>9026</w:t>
      </w:r>
      <w:r w:rsidR="002772C2" w:rsidRPr="004340B8">
        <w:t xml:space="preserve"> </w:t>
      </w:r>
    </w:p>
    <w:p w14:paraId="01FBAF9E" w14:textId="77777777" w:rsidR="0070475A" w:rsidRPr="004340B8" w:rsidRDefault="0070475A" w:rsidP="00547226">
      <w:pPr>
        <w:jc w:val="center"/>
        <w:rPr>
          <w:sz w:val="27"/>
          <w:szCs w:val="27"/>
        </w:rPr>
      </w:pPr>
    </w:p>
    <w:p w14:paraId="2F8CF79F" w14:textId="77777777" w:rsidR="0070475A" w:rsidRPr="004340B8" w:rsidRDefault="0070475A" w:rsidP="00547226">
      <w:pPr>
        <w:pStyle w:val="Heading3"/>
        <w:rPr>
          <w:rFonts w:ascii="Times New Roman" w:hAnsi="Times New Roman"/>
          <w:sz w:val="32"/>
          <w:szCs w:val="32"/>
        </w:rPr>
      </w:pPr>
      <w:r w:rsidRPr="004340B8">
        <w:rPr>
          <w:rFonts w:ascii="Times New Roman" w:hAnsi="Times New Roman"/>
        </w:rPr>
        <w:t>Positions</w:t>
      </w:r>
    </w:p>
    <w:p w14:paraId="4E046395" w14:textId="77777777" w:rsidR="0070475A" w:rsidRPr="004340B8" w:rsidRDefault="0070475A" w:rsidP="00547226">
      <w:pPr>
        <w:rPr>
          <w:sz w:val="27"/>
          <w:szCs w:val="27"/>
        </w:rPr>
      </w:pPr>
    </w:p>
    <w:p w14:paraId="196D2D4A" w14:textId="52E1EC2B" w:rsidR="0070475A" w:rsidRDefault="00197C87" w:rsidP="00547226">
      <w:pPr>
        <w:pStyle w:val="ListParagraph"/>
        <w:contextualSpacing w:val="0"/>
        <w:rPr>
          <w:smallCaps/>
        </w:rPr>
      </w:pPr>
      <w:r w:rsidRPr="004340B8">
        <w:rPr>
          <w:smallCaps/>
        </w:rPr>
        <w:t>J. Reuben Clark Law School, Brigham Young University</w:t>
      </w:r>
    </w:p>
    <w:p w14:paraId="76D841D9" w14:textId="6838D78A" w:rsidR="00247F26" w:rsidRDefault="00247F26" w:rsidP="00247F26">
      <w:pPr>
        <w:pStyle w:val="ListParagraph"/>
        <w:numPr>
          <w:ilvl w:val="0"/>
          <w:numId w:val="14"/>
        </w:numPr>
        <w:contextualSpacing w:val="0"/>
      </w:pPr>
      <w:r>
        <w:t>Associate Dean for Research and Academic Affairs (2020-present)</w:t>
      </w:r>
    </w:p>
    <w:p w14:paraId="5BC0B79B" w14:textId="26BD0580" w:rsidR="00247F26" w:rsidRDefault="00247F26" w:rsidP="00247F26">
      <w:pPr>
        <w:pStyle w:val="ListParagraph"/>
        <w:numPr>
          <w:ilvl w:val="0"/>
          <w:numId w:val="14"/>
        </w:numPr>
        <w:contextualSpacing w:val="0"/>
      </w:pPr>
      <w:r>
        <w:t>Professor of Law (2019-present)</w:t>
      </w:r>
    </w:p>
    <w:p w14:paraId="0C6F216A" w14:textId="7C7FC48E" w:rsidR="0070475A" w:rsidRPr="004340B8" w:rsidRDefault="0070475A" w:rsidP="00247F26">
      <w:pPr>
        <w:pStyle w:val="ListParagraph"/>
        <w:numPr>
          <w:ilvl w:val="0"/>
          <w:numId w:val="14"/>
        </w:numPr>
        <w:contextualSpacing w:val="0"/>
      </w:pPr>
      <w:r w:rsidRPr="004340B8">
        <w:t xml:space="preserve">Associate Professor of Law </w:t>
      </w:r>
      <w:r w:rsidR="00247F26">
        <w:t>(</w:t>
      </w:r>
      <w:r w:rsidRPr="004340B8">
        <w:t>2013-</w:t>
      </w:r>
      <w:r w:rsidR="00247F26">
        <w:t>2019)</w:t>
      </w:r>
    </w:p>
    <w:p w14:paraId="1E619575" w14:textId="77777777" w:rsidR="0070475A" w:rsidRPr="004340B8" w:rsidRDefault="0070475A" w:rsidP="00547226">
      <w:pPr>
        <w:ind w:left="720"/>
      </w:pPr>
    </w:p>
    <w:p w14:paraId="20AF7AF4" w14:textId="77777777" w:rsidR="0070475A" w:rsidRPr="004340B8" w:rsidRDefault="00197C87" w:rsidP="00547226">
      <w:pPr>
        <w:ind w:left="720"/>
        <w:rPr>
          <w:smallCaps/>
        </w:rPr>
      </w:pPr>
      <w:r w:rsidRPr="004340B8">
        <w:rPr>
          <w:smallCaps/>
        </w:rPr>
        <w:t xml:space="preserve">Judge Guido </w:t>
      </w:r>
      <w:proofErr w:type="spellStart"/>
      <w:r w:rsidRPr="004340B8">
        <w:rPr>
          <w:smallCaps/>
        </w:rPr>
        <w:t>Calabresi</w:t>
      </w:r>
      <w:proofErr w:type="spellEnd"/>
      <w:r w:rsidRPr="004340B8">
        <w:rPr>
          <w:smallCaps/>
        </w:rPr>
        <w:t>, U.S. Court of Appeals for the Second Circuit</w:t>
      </w:r>
    </w:p>
    <w:p w14:paraId="070CA721" w14:textId="77777777" w:rsidR="0070475A" w:rsidRPr="004340B8" w:rsidRDefault="00124AC4" w:rsidP="00547226">
      <w:pPr>
        <w:ind w:left="720"/>
      </w:pPr>
      <w:r w:rsidRPr="004340B8">
        <w:t>Law clerk,</w:t>
      </w:r>
      <w:r w:rsidR="0070475A" w:rsidRPr="004340B8">
        <w:t xml:space="preserve"> July 2012 to July 2013</w:t>
      </w:r>
    </w:p>
    <w:p w14:paraId="0B745138" w14:textId="77777777" w:rsidR="00A1074D" w:rsidRPr="004340B8" w:rsidRDefault="00A1074D" w:rsidP="00547226"/>
    <w:p w14:paraId="085C759D" w14:textId="77777777" w:rsidR="0070475A" w:rsidRPr="004340B8" w:rsidRDefault="0070475A" w:rsidP="00547226"/>
    <w:p w14:paraId="5E18B836" w14:textId="77777777" w:rsidR="00450D64" w:rsidRPr="004340B8" w:rsidRDefault="004340B8" w:rsidP="00547226">
      <w:pPr>
        <w:pStyle w:val="Heading3"/>
        <w:rPr>
          <w:rFonts w:ascii="Times New Roman" w:hAnsi="Times New Roman"/>
          <w:smallCaps/>
          <w:sz w:val="32"/>
          <w:szCs w:val="32"/>
          <w:u w:val="single"/>
        </w:rPr>
      </w:pPr>
      <w:r>
        <w:rPr>
          <w:rFonts w:ascii="Times New Roman" w:hAnsi="Times New Roman"/>
        </w:rPr>
        <w:t>Scholarship</w:t>
      </w:r>
    </w:p>
    <w:p w14:paraId="755FE7F3" w14:textId="77777777" w:rsidR="00DB6305" w:rsidRPr="004340B8" w:rsidRDefault="00DB6305" w:rsidP="00DB6305">
      <w:pPr>
        <w:rPr>
          <w:smallCaps/>
        </w:rPr>
      </w:pPr>
    </w:p>
    <w:p w14:paraId="7B524A89" w14:textId="77777777" w:rsidR="00DB6305" w:rsidRPr="004340B8" w:rsidRDefault="00DB6305" w:rsidP="00DB6305">
      <w:pPr>
        <w:rPr>
          <w:smallCaps/>
        </w:rPr>
      </w:pPr>
      <w:r w:rsidRPr="004340B8">
        <w:rPr>
          <w:smallCaps/>
        </w:rPr>
        <w:t>Books</w:t>
      </w:r>
    </w:p>
    <w:p w14:paraId="1F027450" w14:textId="77777777" w:rsidR="00DB6305" w:rsidRPr="004340B8" w:rsidRDefault="00DB6305" w:rsidP="00DB6305">
      <w:pPr>
        <w:rPr>
          <w:smallCaps/>
        </w:rPr>
      </w:pPr>
    </w:p>
    <w:p w14:paraId="3C34F55B" w14:textId="0E163E0C" w:rsidR="001268EE" w:rsidRPr="004340B8" w:rsidRDefault="001268EE" w:rsidP="001268EE">
      <w:pPr>
        <w:ind w:left="720"/>
      </w:pPr>
      <w:r w:rsidRPr="004340B8">
        <w:rPr>
          <w:smallCaps/>
        </w:rPr>
        <w:t xml:space="preserve">Scales of Memory: Constitutional Justice and </w:t>
      </w:r>
      <w:r w:rsidR="00247F26">
        <w:rPr>
          <w:smallCaps/>
        </w:rPr>
        <w:t>Historical Evil</w:t>
      </w:r>
      <w:r w:rsidRPr="004340B8">
        <w:rPr>
          <w:smallCaps/>
        </w:rPr>
        <w:t xml:space="preserve"> (</w:t>
      </w:r>
      <w:r w:rsidRPr="004340B8">
        <w:t>Oxford University Press</w:t>
      </w:r>
      <w:r w:rsidR="0054490D">
        <w:t>, 202</w:t>
      </w:r>
      <w:r w:rsidR="00247F26">
        <w:t>1</w:t>
      </w:r>
      <w:r w:rsidRPr="004340B8">
        <w:t>)</w:t>
      </w:r>
    </w:p>
    <w:p w14:paraId="56B58B29" w14:textId="77777777" w:rsidR="001268EE" w:rsidRPr="004340B8" w:rsidRDefault="001268EE" w:rsidP="00DB6305">
      <w:pPr>
        <w:rPr>
          <w:smallCaps/>
        </w:rPr>
      </w:pPr>
    </w:p>
    <w:p w14:paraId="0DA87B57" w14:textId="77777777" w:rsidR="00DB6305" w:rsidRPr="004340B8" w:rsidRDefault="00DB6305" w:rsidP="00DB6305">
      <w:pPr>
        <w:ind w:left="720"/>
      </w:pPr>
      <w:r w:rsidRPr="004340B8">
        <w:rPr>
          <w:smallCaps/>
        </w:rPr>
        <w:t>Democracy’s Guardians: A History of the German Federal Constitutional Court, 1951-2001</w:t>
      </w:r>
      <w:r w:rsidRPr="004340B8">
        <w:t xml:space="preserve"> (Oxford University Press 2015)</w:t>
      </w:r>
    </w:p>
    <w:p w14:paraId="13906B1C" w14:textId="77777777" w:rsidR="00DB6305" w:rsidRPr="004340B8" w:rsidRDefault="00DB6305" w:rsidP="00DB6305"/>
    <w:p w14:paraId="2669D4FC" w14:textId="77777777" w:rsidR="00DB6305" w:rsidRPr="004340B8" w:rsidRDefault="00DB6305" w:rsidP="00DB6305">
      <w:pPr>
        <w:rPr>
          <w:smallCaps/>
        </w:rPr>
      </w:pPr>
      <w:r w:rsidRPr="004340B8">
        <w:rPr>
          <w:smallCaps/>
        </w:rPr>
        <w:t>Articles and Book Chapters</w:t>
      </w:r>
    </w:p>
    <w:p w14:paraId="451C89C9" w14:textId="106E9EAC" w:rsidR="00DB6305" w:rsidRDefault="00DB6305" w:rsidP="00547226">
      <w:pPr>
        <w:ind w:left="720"/>
        <w:rPr>
          <w:i/>
        </w:rPr>
      </w:pPr>
    </w:p>
    <w:p w14:paraId="72DEAD5F" w14:textId="2E87D652" w:rsidR="00E10C78" w:rsidRPr="00752ECB" w:rsidRDefault="00E10C78" w:rsidP="00547226">
      <w:pPr>
        <w:ind w:left="720"/>
      </w:pPr>
      <w:r w:rsidRPr="004340B8">
        <w:rPr>
          <w:i/>
        </w:rPr>
        <w:t>The Supreme Court and the Memory of Evil</w:t>
      </w:r>
      <w:r w:rsidR="00EA7C98" w:rsidRPr="004340B8">
        <w:t xml:space="preserve">, 71 </w:t>
      </w:r>
      <w:r w:rsidR="00EA7C98" w:rsidRPr="004340B8">
        <w:rPr>
          <w:smallCaps/>
        </w:rPr>
        <w:t>Stanford Law Review</w:t>
      </w:r>
      <w:r w:rsidRPr="004340B8">
        <w:rPr>
          <w:i/>
        </w:rPr>
        <w:t xml:space="preserve"> </w:t>
      </w:r>
      <w:r w:rsidR="00752ECB">
        <w:t>265 (2019)</w:t>
      </w:r>
    </w:p>
    <w:p w14:paraId="63AE0F0B" w14:textId="5D703155" w:rsidR="00E10C78" w:rsidRDefault="00E10C78" w:rsidP="00547226">
      <w:pPr>
        <w:ind w:left="720"/>
        <w:rPr>
          <w:i/>
        </w:rPr>
      </w:pPr>
    </w:p>
    <w:p w14:paraId="0F1FCA96" w14:textId="77777777" w:rsidR="00247F26" w:rsidRPr="001B2879" w:rsidRDefault="00247F26" w:rsidP="00247F26">
      <w:pPr>
        <w:ind w:left="720"/>
        <w:rPr>
          <w:iCs/>
        </w:rPr>
      </w:pPr>
      <w:r>
        <w:rPr>
          <w:i/>
        </w:rPr>
        <w:t>Introduction</w:t>
      </w:r>
      <w:r>
        <w:rPr>
          <w:iCs/>
        </w:rPr>
        <w:t xml:space="preserve">, </w:t>
      </w:r>
      <w:r>
        <w:rPr>
          <w:i/>
        </w:rPr>
        <w:t xml:space="preserve">in </w:t>
      </w:r>
      <w:r w:rsidRPr="001B2879">
        <w:rPr>
          <w:iCs/>
          <w:smallCaps/>
        </w:rPr>
        <w:t xml:space="preserve">Matthias </w:t>
      </w:r>
      <w:proofErr w:type="spellStart"/>
      <w:r w:rsidRPr="001B2879">
        <w:rPr>
          <w:iCs/>
          <w:smallCaps/>
        </w:rPr>
        <w:t>Jestaedt</w:t>
      </w:r>
      <w:proofErr w:type="spellEnd"/>
      <w:r w:rsidRPr="001B2879">
        <w:rPr>
          <w:iCs/>
          <w:smallCaps/>
        </w:rPr>
        <w:t xml:space="preserve"> et al., The German Federal Constitutional Court: The Court without Limits</w:t>
      </w:r>
      <w:r>
        <w:rPr>
          <w:iCs/>
        </w:rPr>
        <w:t xml:space="preserve"> (Jeff </w:t>
      </w:r>
      <w:proofErr w:type="spellStart"/>
      <w:r>
        <w:rPr>
          <w:iCs/>
        </w:rPr>
        <w:t>Seitzer</w:t>
      </w:r>
      <w:proofErr w:type="spellEnd"/>
      <w:r>
        <w:rPr>
          <w:iCs/>
        </w:rPr>
        <w:t xml:space="preserve"> translator, Oxford University Press, 2020) xiii-xxii</w:t>
      </w:r>
    </w:p>
    <w:p w14:paraId="51AB930A" w14:textId="77777777" w:rsidR="00247F26" w:rsidRPr="004340B8" w:rsidRDefault="00247F26" w:rsidP="00247F26">
      <w:pPr>
        <w:ind w:left="720"/>
        <w:rPr>
          <w:i/>
        </w:rPr>
      </w:pPr>
    </w:p>
    <w:p w14:paraId="3E34C977" w14:textId="77777777" w:rsidR="00247F26" w:rsidRPr="009B5E52" w:rsidRDefault="00247F26" w:rsidP="00247F26">
      <w:pPr>
        <w:ind w:left="720"/>
        <w:rPr>
          <w:iCs/>
        </w:rPr>
      </w:pPr>
      <w:proofErr w:type="spellStart"/>
      <w:r>
        <w:rPr>
          <w:i/>
        </w:rPr>
        <w:t>Verfassungspatriotismus</w:t>
      </w:r>
      <w:proofErr w:type="spellEnd"/>
      <w:r>
        <w:rPr>
          <w:i/>
        </w:rPr>
        <w:t xml:space="preserve"> und </w:t>
      </w:r>
      <w:proofErr w:type="spellStart"/>
      <w:r>
        <w:rPr>
          <w:i/>
        </w:rPr>
        <w:t>Verfassungsgedächntnis</w:t>
      </w:r>
      <w:proofErr w:type="spellEnd"/>
      <w:r>
        <w:rPr>
          <w:iCs/>
        </w:rPr>
        <w:t xml:space="preserve">, 74 </w:t>
      </w:r>
      <w:proofErr w:type="spellStart"/>
      <w:r>
        <w:rPr>
          <w:iCs/>
        </w:rPr>
        <w:t>JuristenZeitung</w:t>
      </w:r>
      <w:proofErr w:type="spellEnd"/>
      <w:r>
        <w:rPr>
          <w:iCs/>
        </w:rPr>
        <w:t xml:space="preserve"> 1109 (2019)</w:t>
      </w:r>
    </w:p>
    <w:p w14:paraId="37749909" w14:textId="77777777" w:rsidR="00247F26" w:rsidRPr="004340B8" w:rsidRDefault="00247F26" w:rsidP="00547226">
      <w:pPr>
        <w:ind w:left="720"/>
        <w:rPr>
          <w:i/>
        </w:rPr>
      </w:pPr>
    </w:p>
    <w:p w14:paraId="27840AD0" w14:textId="77777777" w:rsidR="00D8422A" w:rsidRPr="004340B8" w:rsidRDefault="00D8422A" w:rsidP="00547226">
      <w:pPr>
        <w:ind w:left="720"/>
      </w:pPr>
      <w:r w:rsidRPr="004340B8">
        <w:rPr>
          <w:i/>
        </w:rPr>
        <w:t xml:space="preserve">Ernst-Wolfgang </w:t>
      </w:r>
      <w:proofErr w:type="spellStart"/>
      <w:r w:rsidRPr="004340B8">
        <w:rPr>
          <w:i/>
        </w:rPr>
        <w:t>Bӧckenfӧrde</w:t>
      </w:r>
      <w:proofErr w:type="spellEnd"/>
      <w:r w:rsidRPr="004340B8">
        <w:rPr>
          <w:i/>
        </w:rPr>
        <w:t xml:space="preserve"> in the History of the German Constitutional Court</w:t>
      </w:r>
      <w:r w:rsidRPr="004340B8">
        <w:t xml:space="preserve">, </w:t>
      </w:r>
      <w:r w:rsidRPr="004340B8">
        <w:rPr>
          <w:i/>
        </w:rPr>
        <w:t xml:space="preserve">in </w:t>
      </w:r>
      <w:r w:rsidRPr="004340B8">
        <w:rPr>
          <w:smallCaps/>
        </w:rPr>
        <w:t xml:space="preserve">Understanding Ernst-Wolfgang </w:t>
      </w:r>
      <w:proofErr w:type="spellStart"/>
      <w:r w:rsidRPr="004340B8">
        <w:rPr>
          <w:smallCaps/>
        </w:rPr>
        <w:t>Bӧckenfӧrde</w:t>
      </w:r>
      <w:proofErr w:type="spellEnd"/>
      <w:r w:rsidRPr="004340B8">
        <w:t xml:space="preserve"> (Tine Stein &amp; </w:t>
      </w:r>
      <w:proofErr w:type="spellStart"/>
      <w:r w:rsidRPr="004340B8">
        <w:t>Mirjam</w:t>
      </w:r>
      <w:proofErr w:type="spellEnd"/>
      <w:r w:rsidRPr="004340B8">
        <w:t xml:space="preserve"> </w:t>
      </w:r>
      <w:proofErr w:type="spellStart"/>
      <w:r w:rsidRPr="004340B8">
        <w:t>Kuenker</w:t>
      </w:r>
      <w:proofErr w:type="spellEnd"/>
      <w:r w:rsidRPr="004340B8">
        <w:t>, eds., forthcoming Oxford University Press, 201</w:t>
      </w:r>
      <w:r w:rsidR="00823C6E">
        <w:t>9</w:t>
      </w:r>
      <w:r w:rsidRPr="004340B8">
        <w:t>)</w:t>
      </w:r>
    </w:p>
    <w:p w14:paraId="0F9FA408" w14:textId="77777777" w:rsidR="00D8422A" w:rsidRPr="004340B8" w:rsidRDefault="00D8422A" w:rsidP="00547226">
      <w:pPr>
        <w:ind w:left="720"/>
        <w:rPr>
          <w:i/>
        </w:rPr>
      </w:pPr>
    </w:p>
    <w:p w14:paraId="7A6491E8" w14:textId="5A6F60F9" w:rsidR="00D8422A" w:rsidRPr="004340B8" w:rsidRDefault="00D8422A" w:rsidP="00547226">
      <w:pPr>
        <w:ind w:left="720"/>
      </w:pPr>
      <w:r w:rsidRPr="004340B8">
        <w:rPr>
          <w:i/>
        </w:rPr>
        <w:t>An American Perspective on the German Constitutional Court</w:t>
      </w:r>
      <w:r w:rsidRPr="004340B8">
        <w:t xml:space="preserve">, </w:t>
      </w:r>
      <w:r w:rsidRPr="004340B8">
        <w:rPr>
          <w:i/>
        </w:rPr>
        <w:t xml:space="preserve">in </w:t>
      </w:r>
      <w:r w:rsidRPr="004340B8">
        <w:rPr>
          <w:smallCaps/>
        </w:rPr>
        <w:t>The U.S. Supreme Court and Contemporary Constitutional Law: The Obama Era and its Legacy</w:t>
      </w:r>
      <w:r w:rsidRPr="004340B8">
        <w:t xml:space="preserve"> (Anna-Bettina Kaiser, Niels Petersen &amp; Johannes Sauer, eds., Nomos Verlag &amp; Routledge Publishers, 201</w:t>
      </w:r>
      <w:r w:rsidR="00823C6E">
        <w:t>9</w:t>
      </w:r>
      <w:r w:rsidRPr="004340B8">
        <w:t>)</w:t>
      </w:r>
      <w:r w:rsidR="00DD720E">
        <w:t xml:space="preserve"> 273-302</w:t>
      </w:r>
    </w:p>
    <w:p w14:paraId="7F3E6AA9" w14:textId="77777777" w:rsidR="00D8422A" w:rsidRDefault="00D8422A" w:rsidP="00547226">
      <w:pPr>
        <w:ind w:left="720"/>
        <w:rPr>
          <w:i/>
        </w:rPr>
      </w:pPr>
    </w:p>
    <w:p w14:paraId="188EDF7D" w14:textId="44E70A66" w:rsidR="00823C6E" w:rsidRPr="004340B8" w:rsidRDefault="00823C6E" w:rsidP="00823C6E">
      <w:pPr>
        <w:ind w:left="720"/>
      </w:pPr>
      <w:proofErr w:type="spellStart"/>
      <w:r w:rsidRPr="004340B8">
        <w:rPr>
          <w:i/>
        </w:rPr>
        <w:lastRenderedPageBreak/>
        <w:t>Phasen</w:t>
      </w:r>
      <w:proofErr w:type="spellEnd"/>
      <w:r w:rsidRPr="004340B8">
        <w:rPr>
          <w:i/>
        </w:rPr>
        <w:t xml:space="preserve"> der </w:t>
      </w:r>
      <w:proofErr w:type="spellStart"/>
      <w:r w:rsidRPr="004340B8">
        <w:rPr>
          <w:i/>
        </w:rPr>
        <w:t>politischen</w:t>
      </w:r>
      <w:proofErr w:type="spellEnd"/>
      <w:r w:rsidRPr="004340B8">
        <w:rPr>
          <w:i/>
        </w:rPr>
        <w:t xml:space="preserve"> </w:t>
      </w:r>
      <w:proofErr w:type="spellStart"/>
      <w:r w:rsidRPr="004340B8">
        <w:rPr>
          <w:i/>
        </w:rPr>
        <w:t>Kritik</w:t>
      </w:r>
      <w:proofErr w:type="spellEnd"/>
      <w:r w:rsidRPr="004340B8">
        <w:rPr>
          <w:i/>
        </w:rPr>
        <w:t xml:space="preserve"> am </w:t>
      </w:r>
      <w:proofErr w:type="spellStart"/>
      <w:r w:rsidRPr="004340B8">
        <w:rPr>
          <w:i/>
        </w:rPr>
        <w:t>B</w:t>
      </w:r>
      <w:r w:rsidR="00CE2FC0">
        <w:rPr>
          <w:i/>
        </w:rPr>
        <w:t>undesverfassungsgericht</w:t>
      </w:r>
      <w:proofErr w:type="spellEnd"/>
      <w:r w:rsidRPr="004340B8">
        <w:t xml:space="preserve">, </w:t>
      </w:r>
      <w:r w:rsidRPr="004340B8">
        <w:rPr>
          <w:i/>
        </w:rPr>
        <w:t xml:space="preserve">in </w:t>
      </w:r>
      <w:proofErr w:type="spellStart"/>
      <w:r w:rsidR="00CE2FC0">
        <w:rPr>
          <w:smallCaps/>
        </w:rPr>
        <w:t>Verfassungsgerichtsbarkeit</w:t>
      </w:r>
      <w:proofErr w:type="spellEnd"/>
      <w:r w:rsidR="00CE2FC0">
        <w:rPr>
          <w:smallCaps/>
        </w:rPr>
        <w:t xml:space="preserve"> in der Bonner </w:t>
      </w:r>
      <w:proofErr w:type="spellStart"/>
      <w:r w:rsidR="00CE2FC0">
        <w:rPr>
          <w:smallCaps/>
        </w:rPr>
        <w:t>Republik</w:t>
      </w:r>
      <w:proofErr w:type="spellEnd"/>
      <w:r w:rsidRPr="004340B8">
        <w:t xml:space="preserve"> (</w:t>
      </w:r>
      <w:r w:rsidR="00CE2FC0">
        <w:t>Flor</w:t>
      </w:r>
      <w:r w:rsidRPr="004340B8">
        <w:t xml:space="preserve">ian </w:t>
      </w:r>
      <w:proofErr w:type="spellStart"/>
      <w:r w:rsidRPr="004340B8">
        <w:t>Meinel</w:t>
      </w:r>
      <w:proofErr w:type="spellEnd"/>
      <w:r w:rsidRPr="004340B8">
        <w:t xml:space="preserve">, ed., Mohr </w:t>
      </w:r>
      <w:proofErr w:type="spellStart"/>
      <w:r w:rsidRPr="004340B8">
        <w:t>Siebeck</w:t>
      </w:r>
      <w:proofErr w:type="spellEnd"/>
      <w:r w:rsidRPr="004340B8">
        <w:t>, 201</w:t>
      </w:r>
      <w:r>
        <w:t>9</w:t>
      </w:r>
      <w:r w:rsidRPr="004340B8">
        <w:t>)</w:t>
      </w:r>
      <w:r w:rsidR="00CE2FC0">
        <w:t xml:space="preserve"> 63-79</w:t>
      </w:r>
    </w:p>
    <w:p w14:paraId="3C208F42" w14:textId="77777777" w:rsidR="00823C6E" w:rsidRDefault="00823C6E" w:rsidP="00547226">
      <w:pPr>
        <w:ind w:left="720"/>
        <w:rPr>
          <w:i/>
        </w:rPr>
      </w:pPr>
    </w:p>
    <w:p w14:paraId="4824B071" w14:textId="77777777" w:rsidR="001268EE" w:rsidRPr="004340B8" w:rsidRDefault="001268EE" w:rsidP="00823C6E">
      <w:pPr>
        <w:ind w:left="720"/>
      </w:pPr>
      <w:r w:rsidRPr="004340B8">
        <w:rPr>
          <w:i/>
        </w:rPr>
        <w:t xml:space="preserve">Ernst-Wolfgang </w:t>
      </w:r>
      <w:proofErr w:type="spellStart"/>
      <w:r w:rsidR="00D8422A" w:rsidRPr="004340B8">
        <w:rPr>
          <w:i/>
        </w:rPr>
        <w:t>Bӧckenfӧrde</w:t>
      </w:r>
      <w:proofErr w:type="spellEnd"/>
      <w:r w:rsidR="00D8422A" w:rsidRPr="004340B8">
        <w:rPr>
          <w:i/>
        </w:rPr>
        <w:t xml:space="preserve"> on Constitutional Judging in a Democracy</w:t>
      </w:r>
      <w:r w:rsidR="004340B8">
        <w:t xml:space="preserve">, </w:t>
      </w:r>
      <w:r w:rsidR="00D8422A" w:rsidRPr="004340B8">
        <w:rPr>
          <w:smallCaps/>
        </w:rPr>
        <w:t>German Law Journal, 2018</w:t>
      </w:r>
    </w:p>
    <w:p w14:paraId="4291B43F" w14:textId="77777777" w:rsidR="00D8422A" w:rsidRPr="004340B8" w:rsidRDefault="00D8422A" w:rsidP="00547226">
      <w:pPr>
        <w:ind w:left="720"/>
        <w:rPr>
          <w:i/>
        </w:rPr>
      </w:pPr>
    </w:p>
    <w:p w14:paraId="6ABC9C84" w14:textId="77777777" w:rsidR="00D8422A" w:rsidRPr="004340B8" w:rsidRDefault="00D8422A" w:rsidP="00547226">
      <w:pPr>
        <w:ind w:left="720"/>
        <w:rPr>
          <w:i/>
        </w:rPr>
      </w:pPr>
    </w:p>
    <w:p w14:paraId="60CD66AB" w14:textId="77777777" w:rsidR="00547226" w:rsidRPr="004340B8" w:rsidRDefault="00547226" w:rsidP="00547226">
      <w:pPr>
        <w:ind w:left="720"/>
      </w:pPr>
      <w:r w:rsidRPr="004340B8">
        <w:rPr>
          <w:i/>
        </w:rPr>
        <w:t>What Should Comparative Constitutional History Compare?</w:t>
      </w:r>
      <w:r w:rsidRPr="004340B8">
        <w:t xml:space="preserve"> </w:t>
      </w:r>
      <w:r w:rsidR="00D5601B" w:rsidRPr="004340B8">
        <w:t xml:space="preserve">2017 </w:t>
      </w:r>
      <w:r w:rsidR="00D5601B" w:rsidRPr="004340B8">
        <w:rPr>
          <w:smallCaps/>
        </w:rPr>
        <w:t>Illinois Law Review</w:t>
      </w:r>
      <w:r w:rsidR="00D5601B" w:rsidRPr="004340B8">
        <w:t xml:space="preserve"> 475</w:t>
      </w:r>
    </w:p>
    <w:p w14:paraId="42E88B7B" w14:textId="77777777" w:rsidR="00D5601B" w:rsidRPr="004340B8" w:rsidRDefault="00D5601B" w:rsidP="00547226">
      <w:pPr>
        <w:ind w:left="720"/>
      </w:pPr>
    </w:p>
    <w:p w14:paraId="6E3BD3F5" w14:textId="77777777" w:rsidR="00D5601B" w:rsidRPr="004340B8" w:rsidRDefault="00D5601B" w:rsidP="00547226">
      <w:pPr>
        <w:ind w:left="720"/>
      </w:pPr>
      <w:r w:rsidRPr="004340B8">
        <w:rPr>
          <w:i/>
        </w:rPr>
        <w:t>Appealing to Congress</w:t>
      </w:r>
      <w:r w:rsidRPr="004340B8">
        <w:t xml:space="preserve">, 50 </w:t>
      </w:r>
      <w:r w:rsidRPr="004340B8">
        <w:rPr>
          <w:smallCaps/>
        </w:rPr>
        <w:t>U.C. Davis Law Review</w:t>
      </w:r>
      <w:r w:rsidRPr="004340B8">
        <w:t xml:space="preserve"> 463 (2016)</w:t>
      </w:r>
    </w:p>
    <w:p w14:paraId="083F5BE3" w14:textId="77777777" w:rsidR="00450D64" w:rsidRPr="004340B8" w:rsidRDefault="00450D64" w:rsidP="000A39CB">
      <w:pPr>
        <w:pStyle w:val="ListParagraph"/>
        <w:contextualSpacing w:val="0"/>
      </w:pPr>
    </w:p>
    <w:p w14:paraId="01B4CCF0" w14:textId="77777777" w:rsidR="00450D64" w:rsidRPr="004340B8" w:rsidRDefault="00450D64" w:rsidP="00547226">
      <w:pPr>
        <w:ind w:left="720"/>
      </w:pPr>
      <w:r w:rsidRPr="004340B8">
        <w:rPr>
          <w:i/>
        </w:rPr>
        <w:t xml:space="preserve">Gerhard </w:t>
      </w:r>
      <w:proofErr w:type="spellStart"/>
      <w:r w:rsidRPr="004340B8">
        <w:rPr>
          <w:i/>
        </w:rPr>
        <w:t>Leibholz</w:t>
      </w:r>
      <w:proofErr w:type="spellEnd"/>
      <w:r w:rsidRPr="004340B8">
        <w:rPr>
          <w:i/>
        </w:rPr>
        <w:t xml:space="preserve"> und der Status des </w:t>
      </w:r>
      <w:proofErr w:type="spellStart"/>
      <w:r w:rsidRPr="004340B8">
        <w:rPr>
          <w:i/>
        </w:rPr>
        <w:t>Bundesverfassungsgerichts</w:t>
      </w:r>
      <w:proofErr w:type="spellEnd"/>
      <w:r w:rsidRPr="004340B8">
        <w:t xml:space="preserve"> (</w:t>
      </w:r>
      <w:r w:rsidR="00826623" w:rsidRPr="004340B8">
        <w:t xml:space="preserve">[Gerhard </w:t>
      </w:r>
      <w:proofErr w:type="spellStart"/>
      <w:r w:rsidR="00826623" w:rsidRPr="004340B8">
        <w:t>Leibholz</w:t>
      </w:r>
      <w:proofErr w:type="spellEnd"/>
      <w:r w:rsidR="00826623" w:rsidRPr="004340B8">
        <w:t xml:space="preserve"> and the Status of the Federal Constitutional Court] </w:t>
      </w:r>
      <w:r w:rsidRPr="004340B8">
        <w:t xml:space="preserve">German), </w:t>
      </w:r>
      <w:r w:rsidRPr="004340B8">
        <w:rPr>
          <w:i/>
        </w:rPr>
        <w:t>in</w:t>
      </w:r>
      <w:r w:rsidRPr="004340B8">
        <w:t xml:space="preserve"> Anna-Bettina Kaiser, ed., </w:t>
      </w:r>
      <w:r w:rsidR="00B31AC8" w:rsidRPr="004340B8">
        <w:rPr>
          <w:smallCaps/>
        </w:rPr>
        <w:t xml:space="preserve">Der </w:t>
      </w:r>
      <w:proofErr w:type="spellStart"/>
      <w:r w:rsidR="00B31AC8" w:rsidRPr="004340B8">
        <w:rPr>
          <w:smallCaps/>
        </w:rPr>
        <w:t>Parteienstaat</w:t>
      </w:r>
      <w:proofErr w:type="spellEnd"/>
      <w:r w:rsidR="00B31AC8" w:rsidRPr="004340B8">
        <w:rPr>
          <w:smallCaps/>
        </w:rPr>
        <w:t xml:space="preserve">. </w:t>
      </w:r>
      <w:proofErr w:type="spellStart"/>
      <w:r w:rsidR="00B31AC8" w:rsidRPr="004340B8">
        <w:rPr>
          <w:smallCaps/>
        </w:rPr>
        <w:t>Zum</w:t>
      </w:r>
      <w:proofErr w:type="spellEnd"/>
      <w:r w:rsidR="00B31AC8" w:rsidRPr="004340B8">
        <w:rPr>
          <w:smallCaps/>
        </w:rPr>
        <w:t xml:space="preserve"> </w:t>
      </w:r>
      <w:proofErr w:type="spellStart"/>
      <w:r w:rsidR="00B31AC8" w:rsidRPr="004340B8">
        <w:rPr>
          <w:smallCaps/>
        </w:rPr>
        <w:t>Staatsverstӓndnis</w:t>
      </w:r>
      <w:proofErr w:type="spellEnd"/>
      <w:r w:rsidR="00B31AC8" w:rsidRPr="004340B8">
        <w:rPr>
          <w:smallCaps/>
        </w:rPr>
        <w:t xml:space="preserve"> von Gerhard </w:t>
      </w:r>
      <w:proofErr w:type="spellStart"/>
      <w:r w:rsidR="00B31AC8" w:rsidRPr="004340B8">
        <w:rPr>
          <w:smallCaps/>
        </w:rPr>
        <w:t>Leibholz</w:t>
      </w:r>
      <w:proofErr w:type="spellEnd"/>
      <w:r w:rsidRPr="004340B8">
        <w:t xml:space="preserve"> (</w:t>
      </w:r>
      <w:r w:rsidR="00197C87" w:rsidRPr="004340B8">
        <w:t>Book Chapter) (</w:t>
      </w:r>
      <w:r w:rsidRPr="004340B8">
        <w:t>Nomos-Verlag, 201</w:t>
      </w:r>
      <w:r w:rsidR="0070475A" w:rsidRPr="004340B8">
        <w:t>3</w:t>
      </w:r>
      <w:r w:rsidRPr="004340B8">
        <w:t>)</w:t>
      </w:r>
      <w:r w:rsidR="00826623" w:rsidRPr="004340B8">
        <w:t>.</w:t>
      </w:r>
    </w:p>
    <w:p w14:paraId="1026D2E1" w14:textId="77777777" w:rsidR="00450D64" w:rsidRPr="004340B8" w:rsidRDefault="00450D64" w:rsidP="00547226">
      <w:pPr>
        <w:ind w:left="720"/>
      </w:pPr>
    </w:p>
    <w:p w14:paraId="3C74C45A" w14:textId="77777777" w:rsidR="00450D64" w:rsidRPr="004340B8" w:rsidRDefault="00450D64" w:rsidP="00547226">
      <w:pPr>
        <w:ind w:left="720"/>
      </w:pPr>
      <w:r w:rsidRPr="004340B8">
        <w:rPr>
          <w:i/>
        </w:rPr>
        <w:t>How Adams and Jefferson Read Milton (and Milton Read Them</w:t>
      </w:r>
      <w:r w:rsidR="00536FCC" w:rsidRPr="004340B8">
        <w:rPr>
          <w:i/>
        </w:rPr>
        <w:t>)</w:t>
      </w:r>
      <w:r w:rsidR="00DB6305" w:rsidRPr="004340B8">
        <w:t>,</w:t>
      </w:r>
      <w:r w:rsidRPr="004340B8">
        <w:t xml:space="preserve"> </w:t>
      </w:r>
      <w:r w:rsidRPr="004340B8">
        <w:rPr>
          <w:smallCaps/>
        </w:rPr>
        <w:t>Milton Quarterly</w:t>
      </w:r>
      <w:r w:rsidRPr="004340B8">
        <w:t xml:space="preserve"> 40 (2006) (with John Tanner)</w:t>
      </w:r>
    </w:p>
    <w:p w14:paraId="669D8D88" w14:textId="77777777" w:rsidR="006877D1" w:rsidRPr="004340B8" w:rsidRDefault="006877D1" w:rsidP="00547226"/>
    <w:p w14:paraId="454B7645" w14:textId="77777777" w:rsidR="00C0666F" w:rsidRPr="004340B8" w:rsidRDefault="00C0666F" w:rsidP="00547226">
      <w:pPr>
        <w:rPr>
          <w:b/>
          <w:sz w:val="32"/>
          <w:szCs w:val="32"/>
        </w:rPr>
      </w:pPr>
    </w:p>
    <w:p w14:paraId="7B050310" w14:textId="77777777" w:rsidR="00C0666F" w:rsidRPr="004340B8" w:rsidRDefault="00C0666F" w:rsidP="00547226">
      <w:pPr>
        <w:pStyle w:val="Heading1"/>
        <w:rPr>
          <w:rFonts w:ascii="Times New Roman" w:hAnsi="Times New Roman"/>
          <w:sz w:val="28"/>
          <w:szCs w:val="28"/>
        </w:rPr>
      </w:pPr>
      <w:r w:rsidRPr="004340B8">
        <w:rPr>
          <w:rFonts w:ascii="Times New Roman" w:hAnsi="Times New Roman"/>
          <w:sz w:val="28"/>
          <w:szCs w:val="28"/>
        </w:rPr>
        <w:t>Current Scholarship</w:t>
      </w:r>
    </w:p>
    <w:p w14:paraId="0A538064" w14:textId="77777777" w:rsidR="00C0666F" w:rsidRPr="004340B8" w:rsidRDefault="00C0666F" w:rsidP="00547226">
      <w:pPr>
        <w:rPr>
          <w:sz w:val="32"/>
          <w:szCs w:val="32"/>
        </w:rPr>
      </w:pPr>
    </w:p>
    <w:p w14:paraId="40712E4E" w14:textId="1AFA8929" w:rsidR="00C0666F" w:rsidRPr="004340B8" w:rsidRDefault="001361DA" w:rsidP="00547226">
      <w:pPr>
        <w:ind w:left="720"/>
      </w:pPr>
      <w:r>
        <w:rPr>
          <w:smallCaps/>
        </w:rPr>
        <w:t>First Father: George Washington’s Constitution</w:t>
      </w:r>
      <w:r w:rsidR="00C0666F" w:rsidRPr="004340B8">
        <w:t xml:space="preserve"> (Book Project)</w:t>
      </w:r>
    </w:p>
    <w:p w14:paraId="510A4618" w14:textId="77777777" w:rsidR="00C0666F" w:rsidRPr="004340B8" w:rsidRDefault="00C0666F" w:rsidP="00547226"/>
    <w:p w14:paraId="528FD691" w14:textId="77777777" w:rsidR="000A39CB" w:rsidRPr="004340B8" w:rsidRDefault="000A39CB" w:rsidP="00547226">
      <w:pPr>
        <w:pStyle w:val="Heading3"/>
        <w:rPr>
          <w:rFonts w:ascii="Times New Roman" w:hAnsi="Times New Roman"/>
        </w:rPr>
      </w:pPr>
    </w:p>
    <w:p w14:paraId="7327647F" w14:textId="77777777" w:rsidR="009420D4" w:rsidRPr="004340B8" w:rsidRDefault="009420D4" w:rsidP="00547226">
      <w:pPr>
        <w:pStyle w:val="Heading3"/>
        <w:rPr>
          <w:rFonts w:ascii="Times New Roman" w:hAnsi="Times New Roman"/>
        </w:rPr>
      </w:pPr>
      <w:r w:rsidRPr="004340B8">
        <w:rPr>
          <w:rFonts w:ascii="Times New Roman" w:hAnsi="Times New Roman"/>
        </w:rPr>
        <w:t>Courses Taught</w:t>
      </w:r>
    </w:p>
    <w:p w14:paraId="49474496" w14:textId="77777777" w:rsidR="009420D4" w:rsidRPr="004340B8" w:rsidRDefault="009420D4" w:rsidP="00547226">
      <w:pPr>
        <w:rPr>
          <w:smallCaps/>
        </w:rPr>
      </w:pPr>
    </w:p>
    <w:p w14:paraId="1C7EB8EC" w14:textId="37DF258C" w:rsidR="001361DA" w:rsidRDefault="001361DA" w:rsidP="00547226">
      <w:pPr>
        <w:pStyle w:val="ListParagraph"/>
        <w:contextualSpacing w:val="0"/>
      </w:pPr>
      <w:r>
        <w:t xml:space="preserve">Structures of the Constitution </w:t>
      </w:r>
    </w:p>
    <w:p w14:paraId="06B0482D" w14:textId="593274EC" w:rsidR="001361DA" w:rsidRDefault="001361DA" w:rsidP="00547226">
      <w:pPr>
        <w:pStyle w:val="ListParagraph"/>
        <w:contextualSpacing w:val="0"/>
      </w:pPr>
      <w:r>
        <w:t>U.S. Constitutional History</w:t>
      </w:r>
    </w:p>
    <w:p w14:paraId="4E1F106C" w14:textId="186CAEE8" w:rsidR="00197C87" w:rsidRPr="004340B8" w:rsidRDefault="00197C87" w:rsidP="00547226">
      <w:pPr>
        <w:pStyle w:val="ListParagraph"/>
        <w:contextualSpacing w:val="0"/>
      </w:pPr>
      <w:r w:rsidRPr="004340B8">
        <w:t>Comparative Constitutional Law</w:t>
      </w:r>
    </w:p>
    <w:p w14:paraId="598BA328" w14:textId="77777777" w:rsidR="009420D4" w:rsidRPr="004340B8" w:rsidRDefault="009420D4" w:rsidP="00547226">
      <w:pPr>
        <w:ind w:left="720"/>
      </w:pPr>
      <w:r w:rsidRPr="004340B8">
        <w:t>Torts</w:t>
      </w:r>
    </w:p>
    <w:p w14:paraId="5CFF2AF1" w14:textId="77777777" w:rsidR="00FE4E02" w:rsidRPr="004340B8" w:rsidRDefault="00FE4E02" w:rsidP="00547226"/>
    <w:p w14:paraId="441F5197" w14:textId="77777777" w:rsidR="0017587E" w:rsidRPr="004340B8" w:rsidRDefault="0017587E" w:rsidP="0017587E">
      <w:pPr>
        <w:pStyle w:val="Heading3"/>
        <w:rPr>
          <w:rFonts w:ascii="Times New Roman" w:hAnsi="Times New Roman"/>
          <w:sz w:val="32"/>
          <w:szCs w:val="32"/>
        </w:rPr>
      </w:pPr>
      <w:r w:rsidRPr="004340B8">
        <w:rPr>
          <w:rFonts w:ascii="Times New Roman" w:hAnsi="Times New Roman"/>
        </w:rPr>
        <w:t>Education</w:t>
      </w:r>
    </w:p>
    <w:p w14:paraId="0089F93B" w14:textId="77777777" w:rsidR="0017587E" w:rsidRPr="004340B8" w:rsidRDefault="0017587E" w:rsidP="0017587E"/>
    <w:p w14:paraId="482B0B13" w14:textId="77777777" w:rsidR="0017587E" w:rsidRPr="004340B8" w:rsidRDefault="0017587E" w:rsidP="0017587E">
      <w:pPr>
        <w:ind w:left="720"/>
        <w:rPr>
          <w:smallCaps/>
        </w:rPr>
      </w:pPr>
      <w:r w:rsidRPr="004340B8">
        <w:rPr>
          <w:smallCaps/>
        </w:rPr>
        <w:t>Yale University</w:t>
      </w:r>
    </w:p>
    <w:p w14:paraId="3654AC0D" w14:textId="77777777" w:rsidR="0017587E" w:rsidRPr="004340B8" w:rsidRDefault="0017587E" w:rsidP="0017587E">
      <w:pPr>
        <w:ind w:left="720"/>
      </w:pPr>
      <w:r w:rsidRPr="004340B8">
        <w:t>PhD, History, May 2013</w:t>
      </w:r>
    </w:p>
    <w:p w14:paraId="69592CFC" w14:textId="77777777" w:rsidR="0017587E" w:rsidRPr="004340B8" w:rsidRDefault="0017587E" w:rsidP="0017587E">
      <w:pPr>
        <w:ind w:left="720"/>
      </w:pPr>
    </w:p>
    <w:p w14:paraId="1D1FBD94" w14:textId="77777777" w:rsidR="0017587E" w:rsidRPr="004340B8" w:rsidRDefault="0017587E" w:rsidP="0017587E">
      <w:pPr>
        <w:ind w:left="720"/>
      </w:pPr>
      <w:r w:rsidRPr="004340B8">
        <w:rPr>
          <w:smallCaps/>
        </w:rPr>
        <w:t>Yale Law School</w:t>
      </w:r>
    </w:p>
    <w:p w14:paraId="65B89E2C" w14:textId="77777777" w:rsidR="0017587E" w:rsidRPr="004340B8" w:rsidRDefault="0017587E" w:rsidP="0017587E">
      <w:pPr>
        <w:ind w:left="720"/>
      </w:pPr>
      <w:r w:rsidRPr="004340B8">
        <w:t xml:space="preserve">JD, June 2010. Senior Editor, </w:t>
      </w:r>
      <w:r w:rsidRPr="004340B8">
        <w:rPr>
          <w:i/>
        </w:rPr>
        <w:t>Yale Law Journal</w:t>
      </w:r>
      <w:r w:rsidRPr="004340B8">
        <w:t>; Yale Legal History Forum Fellow</w:t>
      </w:r>
    </w:p>
    <w:p w14:paraId="7698DBCB" w14:textId="77777777" w:rsidR="0017587E" w:rsidRPr="004340B8" w:rsidRDefault="0017587E" w:rsidP="0017587E">
      <w:pPr>
        <w:ind w:left="720"/>
      </w:pPr>
    </w:p>
    <w:p w14:paraId="6134E478" w14:textId="77777777" w:rsidR="0017587E" w:rsidRPr="004340B8" w:rsidRDefault="0017587E" w:rsidP="0017587E">
      <w:pPr>
        <w:ind w:left="720"/>
      </w:pPr>
      <w:r w:rsidRPr="004340B8">
        <w:rPr>
          <w:smallCaps/>
        </w:rPr>
        <w:t>Brigham Young University</w:t>
      </w:r>
    </w:p>
    <w:p w14:paraId="452DB4D2" w14:textId="77777777" w:rsidR="0017587E" w:rsidRPr="004340B8" w:rsidRDefault="0017587E" w:rsidP="0017587E">
      <w:pPr>
        <w:ind w:left="720"/>
      </w:pPr>
      <w:r w:rsidRPr="004340B8">
        <w:t xml:space="preserve">BA, </w:t>
      </w:r>
      <w:r w:rsidRPr="004340B8">
        <w:rPr>
          <w:i/>
        </w:rPr>
        <w:t>magna cum laude</w:t>
      </w:r>
      <w:r w:rsidRPr="004340B8">
        <w:t>, English &amp; Italian (minor in classical civilization), April 2006. Gordon B. Hinckley Presidential Scholarship</w:t>
      </w:r>
    </w:p>
    <w:p w14:paraId="057EC558" w14:textId="77777777" w:rsidR="0017587E" w:rsidRPr="004340B8" w:rsidRDefault="0017587E" w:rsidP="0017587E"/>
    <w:p w14:paraId="6B656768" w14:textId="77777777" w:rsidR="0017587E" w:rsidRPr="004340B8" w:rsidRDefault="0017587E" w:rsidP="00547226">
      <w:pPr>
        <w:pStyle w:val="Heading3"/>
        <w:rPr>
          <w:rFonts w:ascii="Times New Roman" w:hAnsi="Times New Roman"/>
        </w:rPr>
      </w:pPr>
    </w:p>
    <w:p w14:paraId="5D825DB1" w14:textId="77777777" w:rsidR="001361DA" w:rsidRPr="004340B8" w:rsidRDefault="001361DA" w:rsidP="001361DA">
      <w:pPr>
        <w:pStyle w:val="Heading2"/>
        <w:rPr>
          <w:rFonts w:ascii="Times New Roman" w:hAnsi="Times New Roman"/>
          <w:sz w:val="28"/>
          <w:szCs w:val="28"/>
        </w:rPr>
      </w:pPr>
      <w:r w:rsidRPr="004340B8">
        <w:rPr>
          <w:rFonts w:ascii="Times New Roman" w:hAnsi="Times New Roman"/>
          <w:sz w:val="28"/>
          <w:szCs w:val="28"/>
        </w:rPr>
        <w:t>Selected Presentations and Lectures</w:t>
      </w:r>
    </w:p>
    <w:p w14:paraId="6D5146E2" w14:textId="77777777" w:rsidR="001361DA" w:rsidRPr="004340B8" w:rsidRDefault="001361DA" w:rsidP="001361DA"/>
    <w:p w14:paraId="62194868" w14:textId="77777777" w:rsidR="001361DA" w:rsidRDefault="001361DA" w:rsidP="001361DA">
      <w:pPr>
        <w:ind w:left="720"/>
      </w:pPr>
      <w:r>
        <w:t>“The Supreme Court and the Memory of Evil,” Yale-Harvard-Stanford Junior Faculty Forum, Harvard Law School, June 2018</w:t>
      </w:r>
    </w:p>
    <w:p w14:paraId="7EFBA4CE" w14:textId="77777777" w:rsidR="001361DA" w:rsidRDefault="001361DA" w:rsidP="001361DA">
      <w:pPr>
        <w:ind w:left="720"/>
      </w:pPr>
    </w:p>
    <w:p w14:paraId="16EE69AD" w14:textId="77777777" w:rsidR="001361DA" w:rsidRPr="004340B8" w:rsidRDefault="001361DA" w:rsidP="001361DA">
      <w:pPr>
        <w:ind w:left="720"/>
      </w:pPr>
      <w:r w:rsidRPr="004340B8">
        <w:t>“Constitutional Justice and Collective Memory,” University of Illinois Law School, February 2017</w:t>
      </w:r>
    </w:p>
    <w:p w14:paraId="5358C89F" w14:textId="77777777" w:rsidR="001361DA" w:rsidRPr="004340B8" w:rsidRDefault="001361DA" w:rsidP="001361DA">
      <w:pPr>
        <w:ind w:left="720"/>
      </w:pPr>
    </w:p>
    <w:p w14:paraId="10154D23" w14:textId="77777777" w:rsidR="001361DA" w:rsidRPr="004340B8" w:rsidRDefault="001361DA" w:rsidP="001361DA">
      <w:pPr>
        <w:ind w:left="720"/>
      </w:pPr>
      <w:r w:rsidRPr="004340B8">
        <w:t>“An American Perspective on the German Constitutional Court,” Humboldt University, Berlin, Germany, October 2016</w:t>
      </w:r>
    </w:p>
    <w:p w14:paraId="1C3CF53C" w14:textId="77777777" w:rsidR="001361DA" w:rsidRPr="004340B8" w:rsidRDefault="001361DA" w:rsidP="001361DA">
      <w:pPr>
        <w:ind w:left="720"/>
      </w:pPr>
    </w:p>
    <w:p w14:paraId="6998B724" w14:textId="77777777" w:rsidR="001361DA" w:rsidRPr="004340B8" w:rsidRDefault="001361DA" w:rsidP="001361DA">
      <w:pPr>
        <w:ind w:left="720"/>
      </w:pPr>
      <w:r w:rsidRPr="004340B8">
        <w:t xml:space="preserve">“Ernst-Wolfgang </w:t>
      </w:r>
      <w:proofErr w:type="spellStart"/>
      <w:r w:rsidRPr="004340B8">
        <w:t>Bӧckenfӧrde</w:t>
      </w:r>
      <w:proofErr w:type="spellEnd"/>
      <w:r w:rsidRPr="004340B8">
        <w:t xml:space="preserve"> in the History of the Federal Constitutional Court”, Carl Friedrich von Siemens Stiftung, Munich, Germany, June 2016</w:t>
      </w:r>
    </w:p>
    <w:p w14:paraId="22B6D0B3" w14:textId="77777777" w:rsidR="001361DA" w:rsidRPr="004340B8" w:rsidRDefault="001361DA" w:rsidP="001361DA">
      <w:pPr>
        <w:ind w:left="720"/>
      </w:pPr>
    </w:p>
    <w:p w14:paraId="5A7116BA" w14:textId="77777777" w:rsidR="001361DA" w:rsidRPr="004340B8" w:rsidRDefault="001361DA" w:rsidP="001361DA">
      <w:pPr>
        <w:ind w:left="720"/>
      </w:pPr>
      <w:r w:rsidRPr="004340B8">
        <w:t>“What Should Comparative Constitutional History Compare?”, Chicago, IL, April 2016</w:t>
      </w:r>
    </w:p>
    <w:p w14:paraId="3F81C426" w14:textId="77777777" w:rsidR="001361DA" w:rsidRPr="004340B8" w:rsidRDefault="001361DA" w:rsidP="001361DA">
      <w:pPr>
        <w:ind w:left="720"/>
      </w:pPr>
    </w:p>
    <w:p w14:paraId="704EB2D4" w14:textId="77777777" w:rsidR="001361DA" w:rsidRPr="004340B8" w:rsidRDefault="001361DA" w:rsidP="001361DA">
      <w:pPr>
        <w:ind w:left="720"/>
      </w:pPr>
      <w:r w:rsidRPr="004340B8">
        <w:t>“Phases in the Political Criticism of the German Constitutional Court”, Humboldt University, Berlin, Germany, April 2016</w:t>
      </w:r>
    </w:p>
    <w:p w14:paraId="162F64BB" w14:textId="77777777" w:rsidR="001361DA" w:rsidRPr="004340B8" w:rsidRDefault="001361DA" w:rsidP="001361DA">
      <w:pPr>
        <w:ind w:left="720"/>
      </w:pPr>
    </w:p>
    <w:p w14:paraId="33381B32" w14:textId="77777777" w:rsidR="001361DA" w:rsidRPr="004340B8" w:rsidRDefault="001361DA" w:rsidP="001361DA">
      <w:pPr>
        <w:ind w:left="720"/>
      </w:pPr>
      <w:r w:rsidRPr="004340B8">
        <w:t>“Constitutional Justice as Public Memory: Fundamental Rights and National Identity in Italy and West Germany, 1945-1989,” Oxford University, UK, June 2015</w:t>
      </w:r>
    </w:p>
    <w:p w14:paraId="0A782F06" w14:textId="77777777" w:rsidR="001361DA" w:rsidRPr="004340B8" w:rsidRDefault="001361DA" w:rsidP="001361DA">
      <w:pPr>
        <w:ind w:left="720"/>
      </w:pPr>
    </w:p>
    <w:p w14:paraId="3FB0B533" w14:textId="77777777" w:rsidR="001361DA" w:rsidRPr="004340B8" w:rsidRDefault="001361DA" w:rsidP="001361DA">
      <w:pPr>
        <w:ind w:left="720"/>
      </w:pPr>
      <w:r w:rsidRPr="004340B8">
        <w:t>“Values Fundamentalism, Constitutional Patriotism, and the Future of Europe,” Cornell University, April 2015</w:t>
      </w:r>
    </w:p>
    <w:p w14:paraId="79242BF5" w14:textId="77777777" w:rsidR="001361DA" w:rsidRPr="004340B8" w:rsidRDefault="001361DA" w:rsidP="001361DA">
      <w:pPr>
        <w:ind w:left="720"/>
      </w:pPr>
    </w:p>
    <w:p w14:paraId="7BB74C50" w14:textId="77777777" w:rsidR="001361DA" w:rsidRPr="004340B8" w:rsidRDefault="001361DA" w:rsidP="001361DA">
      <w:pPr>
        <w:ind w:left="720"/>
      </w:pPr>
      <w:r w:rsidRPr="004340B8">
        <w:t>“Constitutional Justice as Public Memory,” University of Bologna, Bologna Italy, October 2014</w:t>
      </w:r>
    </w:p>
    <w:p w14:paraId="51ABA3DD" w14:textId="77777777" w:rsidR="001361DA" w:rsidRDefault="001361DA" w:rsidP="00547226">
      <w:pPr>
        <w:pStyle w:val="Heading3"/>
        <w:rPr>
          <w:rFonts w:ascii="Times New Roman" w:hAnsi="Times New Roman"/>
        </w:rPr>
      </w:pPr>
    </w:p>
    <w:p w14:paraId="2C3CE197" w14:textId="41F79212" w:rsidR="00FE4E02" w:rsidRPr="004340B8" w:rsidRDefault="00FE4E02" w:rsidP="00547226">
      <w:pPr>
        <w:pStyle w:val="Heading3"/>
        <w:rPr>
          <w:rFonts w:ascii="Times New Roman" w:hAnsi="Times New Roman"/>
        </w:rPr>
      </w:pPr>
      <w:r w:rsidRPr="004340B8">
        <w:rPr>
          <w:rFonts w:ascii="Times New Roman" w:hAnsi="Times New Roman"/>
        </w:rPr>
        <w:t>Bar Admission</w:t>
      </w:r>
    </w:p>
    <w:p w14:paraId="36A72B68" w14:textId="77777777" w:rsidR="00FE4E02" w:rsidRPr="004340B8" w:rsidRDefault="00FE4E02" w:rsidP="00547226">
      <w:pPr>
        <w:rPr>
          <w:smallCaps/>
        </w:rPr>
      </w:pPr>
    </w:p>
    <w:p w14:paraId="5DE62ADB" w14:textId="3A7A73F7" w:rsidR="0017587E" w:rsidRPr="004340B8" w:rsidRDefault="00FE4E02" w:rsidP="009D14A2">
      <w:pPr>
        <w:ind w:left="720"/>
      </w:pPr>
      <w:r w:rsidRPr="004340B8">
        <w:t>New York</w:t>
      </w:r>
      <w:r w:rsidR="00826623" w:rsidRPr="004340B8">
        <w:t xml:space="preserve">, </w:t>
      </w:r>
      <w:r w:rsidRPr="004340B8">
        <w:t>2013</w:t>
      </w:r>
    </w:p>
    <w:p w14:paraId="620705F9" w14:textId="77777777" w:rsidR="0017587E" w:rsidRPr="004340B8" w:rsidRDefault="0017587E" w:rsidP="0017587E"/>
    <w:p w14:paraId="427D094F" w14:textId="77777777" w:rsidR="00EE09B2" w:rsidRPr="004340B8" w:rsidRDefault="00EE09B2"/>
    <w:sectPr w:rsidR="00EE09B2" w:rsidRPr="004340B8" w:rsidSect="00BB5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8EF"/>
    <w:multiLevelType w:val="hybridMultilevel"/>
    <w:tmpl w:val="B168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4C30"/>
    <w:multiLevelType w:val="hybridMultilevel"/>
    <w:tmpl w:val="10B4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7720"/>
    <w:multiLevelType w:val="hybridMultilevel"/>
    <w:tmpl w:val="C97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5497D"/>
    <w:multiLevelType w:val="hybridMultilevel"/>
    <w:tmpl w:val="05E4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86974"/>
    <w:multiLevelType w:val="hybridMultilevel"/>
    <w:tmpl w:val="CDA82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5006DB"/>
    <w:multiLevelType w:val="hybridMultilevel"/>
    <w:tmpl w:val="3E662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52C83"/>
    <w:multiLevelType w:val="hybridMultilevel"/>
    <w:tmpl w:val="AEAC6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D20"/>
    <w:multiLevelType w:val="hybridMultilevel"/>
    <w:tmpl w:val="D39C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43A05"/>
    <w:multiLevelType w:val="hybridMultilevel"/>
    <w:tmpl w:val="04B0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47600"/>
    <w:multiLevelType w:val="hybridMultilevel"/>
    <w:tmpl w:val="4B78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32613"/>
    <w:multiLevelType w:val="hybridMultilevel"/>
    <w:tmpl w:val="347A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E2B52"/>
    <w:multiLevelType w:val="hybridMultilevel"/>
    <w:tmpl w:val="584A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15729"/>
    <w:multiLevelType w:val="hybridMultilevel"/>
    <w:tmpl w:val="0F2C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14DBA"/>
    <w:multiLevelType w:val="hybridMultilevel"/>
    <w:tmpl w:val="BF44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11"/>
  </w:num>
  <w:num w:numId="11">
    <w:abstractNumId w:val="7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4D"/>
    <w:rsid w:val="00087E7E"/>
    <w:rsid w:val="000A39CB"/>
    <w:rsid w:val="00124AC4"/>
    <w:rsid w:val="001268EE"/>
    <w:rsid w:val="001361DA"/>
    <w:rsid w:val="0017587E"/>
    <w:rsid w:val="001964C6"/>
    <w:rsid w:val="00197C87"/>
    <w:rsid w:val="001B2879"/>
    <w:rsid w:val="001D7C28"/>
    <w:rsid w:val="00247F26"/>
    <w:rsid w:val="002772C2"/>
    <w:rsid w:val="002B64E4"/>
    <w:rsid w:val="00314A28"/>
    <w:rsid w:val="00326970"/>
    <w:rsid w:val="003A6CF7"/>
    <w:rsid w:val="00403C87"/>
    <w:rsid w:val="00415F7E"/>
    <w:rsid w:val="004340B8"/>
    <w:rsid w:val="004501E2"/>
    <w:rsid w:val="00450D64"/>
    <w:rsid w:val="004678EA"/>
    <w:rsid w:val="004E299C"/>
    <w:rsid w:val="0051706F"/>
    <w:rsid w:val="00536FCC"/>
    <w:rsid w:val="00543E35"/>
    <w:rsid w:val="0054490D"/>
    <w:rsid w:val="00547226"/>
    <w:rsid w:val="0055247A"/>
    <w:rsid w:val="0055381D"/>
    <w:rsid w:val="005B12D2"/>
    <w:rsid w:val="005E6674"/>
    <w:rsid w:val="006356D8"/>
    <w:rsid w:val="00672CED"/>
    <w:rsid w:val="006877D1"/>
    <w:rsid w:val="0070475A"/>
    <w:rsid w:val="00734154"/>
    <w:rsid w:val="00752ECB"/>
    <w:rsid w:val="007C10ED"/>
    <w:rsid w:val="008214DA"/>
    <w:rsid w:val="00823C6E"/>
    <w:rsid w:val="00826623"/>
    <w:rsid w:val="008A2D62"/>
    <w:rsid w:val="008D01D1"/>
    <w:rsid w:val="00905A11"/>
    <w:rsid w:val="009420D4"/>
    <w:rsid w:val="009B5E52"/>
    <w:rsid w:val="009D12BE"/>
    <w:rsid w:val="009D14A2"/>
    <w:rsid w:val="00A1074D"/>
    <w:rsid w:val="00A16020"/>
    <w:rsid w:val="00A248A4"/>
    <w:rsid w:val="00A36BD5"/>
    <w:rsid w:val="00A96086"/>
    <w:rsid w:val="00B31AC8"/>
    <w:rsid w:val="00B83A5F"/>
    <w:rsid w:val="00BA72F3"/>
    <w:rsid w:val="00BB59BE"/>
    <w:rsid w:val="00BF23C6"/>
    <w:rsid w:val="00C0666F"/>
    <w:rsid w:val="00C57F29"/>
    <w:rsid w:val="00CE2530"/>
    <w:rsid w:val="00CE2FC0"/>
    <w:rsid w:val="00D10289"/>
    <w:rsid w:val="00D5601B"/>
    <w:rsid w:val="00D8422A"/>
    <w:rsid w:val="00DB2602"/>
    <w:rsid w:val="00DB6305"/>
    <w:rsid w:val="00DD3E51"/>
    <w:rsid w:val="00DD720E"/>
    <w:rsid w:val="00DE718B"/>
    <w:rsid w:val="00E10C78"/>
    <w:rsid w:val="00E357C4"/>
    <w:rsid w:val="00E64AFA"/>
    <w:rsid w:val="00EA5F98"/>
    <w:rsid w:val="00EA7C98"/>
    <w:rsid w:val="00EB482A"/>
    <w:rsid w:val="00EB6FF3"/>
    <w:rsid w:val="00EC7025"/>
    <w:rsid w:val="00EE09B2"/>
    <w:rsid w:val="00F07E89"/>
    <w:rsid w:val="00FB69DC"/>
    <w:rsid w:val="00FE1C5B"/>
    <w:rsid w:val="00FE4E02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5119"/>
  <w15:docId w15:val="{8A788457-A18E-4C0F-8D98-6E8D64BB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9BE"/>
  </w:style>
  <w:style w:type="paragraph" w:styleId="Heading1">
    <w:name w:val="heading 1"/>
    <w:basedOn w:val="Normal"/>
    <w:next w:val="Normal"/>
    <w:link w:val="Heading1Char"/>
    <w:uiPriority w:val="9"/>
    <w:qFormat/>
    <w:rsid w:val="00C0666F"/>
    <w:pPr>
      <w:keepNext/>
      <w:outlineLvl w:val="0"/>
    </w:pPr>
    <w:rPr>
      <w:rFonts w:ascii="Garamond" w:hAnsi="Garamond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226"/>
    <w:pPr>
      <w:keepNext/>
      <w:outlineLvl w:val="1"/>
    </w:pPr>
    <w:rPr>
      <w:rFonts w:ascii="Garamond" w:hAnsi="Garamond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7226"/>
    <w:pPr>
      <w:keepNext/>
      <w:outlineLvl w:val="2"/>
    </w:pPr>
    <w:rPr>
      <w:rFonts w:ascii="Garamond" w:hAnsi="Garamond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7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23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666F"/>
    <w:rPr>
      <w:rFonts w:ascii="Garamond" w:hAnsi="Garamond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47226"/>
    <w:pPr>
      <w:jc w:val="center"/>
    </w:pPr>
    <w:rPr>
      <w:rFonts w:ascii="Garamond" w:hAnsi="Garamond"/>
      <w:b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547226"/>
    <w:rPr>
      <w:rFonts w:ascii="Garamond" w:hAnsi="Garamond"/>
      <w:b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547226"/>
    <w:rPr>
      <w:rFonts w:ascii="Garamond" w:hAnsi="Garamond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547226"/>
    <w:rPr>
      <w:rFonts w:ascii="Garamond" w:hAnsi="Garamond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Lynnett Rands</cp:lastModifiedBy>
  <cp:revision>2</cp:revision>
  <dcterms:created xsi:type="dcterms:W3CDTF">2021-02-19T22:51:00Z</dcterms:created>
  <dcterms:modified xsi:type="dcterms:W3CDTF">2021-02-19T22:51:00Z</dcterms:modified>
</cp:coreProperties>
</file>